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12" w:rsidRDefault="003A5D8D" w:rsidP="003A66CD">
      <w:pPr>
        <w:pStyle w:val="Capalera"/>
        <w:tabs>
          <w:tab w:val="clear" w:pos="4252"/>
          <w:tab w:val="clear" w:pos="8504"/>
        </w:tabs>
        <w:rPr>
          <w:rFonts w:ascii="Arial" w:hAnsi="Arial" w:cs="Arial"/>
          <w:b/>
          <w:sz w:val="32"/>
          <w:szCs w:val="32"/>
          <w:u w:val="single"/>
          <w:lang w:val="ca-ES"/>
        </w:rPr>
      </w:pPr>
      <w:r>
        <w:rPr>
          <w:rFonts w:ascii="Arial" w:hAnsi="Arial" w:cs="Arial"/>
          <w:b/>
          <w:sz w:val="32"/>
          <w:szCs w:val="32"/>
          <w:u w:val="single"/>
          <w:lang w:val="ca-ES"/>
        </w:rPr>
        <w:t xml:space="preserve">NOTA: </w:t>
      </w:r>
      <w:r w:rsidR="00BC7B49">
        <w:rPr>
          <w:rFonts w:ascii="Arial" w:hAnsi="Arial" w:cs="Arial"/>
          <w:b/>
          <w:sz w:val="32"/>
          <w:szCs w:val="32"/>
          <w:u w:val="single"/>
          <w:lang w:val="ca-ES"/>
        </w:rPr>
        <w:t>Reavaluació del g</w:t>
      </w:r>
      <w:r w:rsidR="00C524AC">
        <w:rPr>
          <w:rFonts w:ascii="Arial" w:hAnsi="Arial" w:cs="Arial"/>
          <w:b/>
          <w:sz w:val="32"/>
          <w:szCs w:val="32"/>
          <w:u w:val="single"/>
          <w:lang w:val="ca-ES"/>
        </w:rPr>
        <w:t>lifosat</w:t>
      </w:r>
      <w:r w:rsidR="00CC1912">
        <w:rPr>
          <w:rFonts w:ascii="Arial" w:hAnsi="Arial" w:cs="Arial"/>
          <w:b/>
          <w:sz w:val="32"/>
          <w:szCs w:val="32"/>
          <w:u w:val="single"/>
          <w:lang w:val="ca-ES"/>
        </w:rPr>
        <w:t xml:space="preserve"> </w:t>
      </w:r>
    </w:p>
    <w:p w:rsidR="003A66CD" w:rsidRPr="00F8029E" w:rsidRDefault="003A66CD" w:rsidP="003A66CD">
      <w:pPr>
        <w:jc w:val="both"/>
        <w:rPr>
          <w:rFonts w:ascii="Arial" w:hAnsi="Arial" w:cs="Arial"/>
          <w:lang w:val="ca-ES"/>
        </w:rPr>
      </w:pPr>
    </w:p>
    <w:p w:rsidR="00B725B9" w:rsidRDefault="002068F1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El glifosat és un herbicida d’ampli espectre </w:t>
      </w:r>
      <w:r w:rsidR="007661F3">
        <w:rPr>
          <w:rFonts w:ascii="Arial" w:hAnsi="Arial" w:cs="Arial"/>
          <w:sz w:val="22"/>
          <w:szCs w:val="22"/>
          <w:lang w:val="ca-ES"/>
        </w:rPr>
        <w:t xml:space="preserve">aprovat </w:t>
      </w:r>
      <w:r w:rsidR="00B549ED">
        <w:rPr>
          <w:rFonts w:ascii="Arial" w:hAnsi="Arial" w:cs="Arial"/>
          <w:sz w:val="22"/>
          <w:szCs w:val="22"/>
          <w:lang w:val="ca-ES"/>
        </w:rPr>
        <w:t xml:space="preserve">com a principi actiu per a formulats fitosanitaris </w:t>
      </w:r>
      <w:r w:rsidR="007661F3">
        <w:rPr>
          <w:rFonts w:ascii="Arial" w:hAnsi="Arial" w:cs="Arial"/>
          <w:sz w:val="22"/>
          <w:szCs w:val="22"/>
          <w:lang w:val="ca-ES"/>
        </w:rPr>
        <w:t xml:space="preserve">a la Unió </w:t>
      </w:r>
      <w:r w:rsidR="00DB6C32">
        <w:rPr>
          <w:rFonts w:ascii="Arial" w:hAnsi="Arial" w:cs="Arial"/>
          <w:sz w:val="22"/>
          <w:szCs w:val="22"/>
          <w:lang w:val="ca-ES"/>
        </w:rPr>
        <w:t>Europea</w:t>
      </w:r>
      <w:r w:rsidR="00B549ED">
        <w:rPr>
          <w:rFonts w:ascii="Arial" w:hAnsi="Arial" w:cs="Arial"/>
          <w:sz w:val="22"/>
          <w:szCs w:val="22"/>
          <w:lang w:val="ca-ES"/>
        </w:rPr>
        <w:t xml:space="preserve"> on</w:t>
      </w:r>
      <w:r>
        <w:rPr>
          <w:rFonts w:ascii="Arial" w:hAnsi="Arial" w:cs="Arial"/>
          <w:sz w:val="22"/>
          <w:szCs w:val="22"/>
          <w:lang w:val="ca-ES"/>
        </w:rPr>
        <w:t xml:space="preserve"> cada Estat Membre</w:t>
      </w:r>
      <w:r w:rsidR="00B549ED">
        <w:rPr>
          <w:rFonts w:ascii="Arial" w:hAnsi="Arial" w:cs="Arial"/>
          <w:sz w:val="22"/>
          <w:szCs w:val="22"/>
          <w:lang w:val="ca-ES"/>
        </w:rPr>
        <w:t xml:space="preserve"> en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="00B549ED">
        <w:rPr>
          <w:rFonts w:ascii="Arial" w:hAnsi="Arial" w:cs="Arial"/>
          <w:sz w:val="22"/>
          <w:szCs w:val="22"/>
          <w:lang w:val="ca-ES"/>
        </w:rPr>
        <w:t>regula</w:t>
      </w:r>
      <w:r>
        <w:rPr>
          <w:rFonts w:ascii="Arial" w:hAnsi="Arial" w:cs="Arial"/>
          <w:sz w:val="22"/>
          <w:szCs w:val="22"/>
          <w:lang w:val="ca-ES"/>
        </w:rPr>
        <w:t xml:space="preserve"> l’autorització del seu ús.</w:t>
      </w:r>
    </w:p>
    <w:p w:rsidR="0057510A" w:rsidRDefault="0057510A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</w:p>
    <w:p w:rsidR="00B725B9" w:rsidRDefault="004D00E6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El període d’</w:t>
      </w:r>
      <w:r w:rsidR="002068F1">
        <w:rPr>
          <w:rFonts w:ascii="Arial" w:hAnsi="Arial" w:cs="Arial"/>
          <w:sz w:val="22"/>
          <w:szCs w:val="22"/>
          <w:lang w:val="ca-ES"/>
        </w:rPr>
        <w:t xml:space="preserve">aprovació del glifosat </w:t>
      </w:r>
      <w:r w:rsidR="00C211E3">
        <w:rPr>
          <w:rFonts w:ascii="Arial" w:hAnsi="Arial" w:cs="Arial"/>
          <w:sz w:val="22"/>
          <w:szCs w:val="22"/>
          <w:lang w:val="ca-ES"/>
        </w:rPr>
        <w:t>finalitzava e</w:t>
      </w:r>
      <w:r>
        <w:rPr>
          <w:rFonts w:ascii="Arial" w:hAnsi="Arial" w:cs="Arial"/>
          <w:sz w:val="22"/>
          <w:szCs w:val="22"/>
          <w:lang w:val="ca-ES"/>
        </w:rPr>
        <w:t>l 2012 i per segui</w:t>
      </w:r>
      <w:r w:rsidR="00263EE6">
        <w:rPr>
          <w:rFonts w:ascii="Arial" w:hAnsi="Arial" w:cs="Arial"/>
          <w:sz w:val="22"/>
          <w:szCs w:val="22"/>
          <w:lang w:val="ca-ES"/>
        </w:rPr>
        <w:t>r estant a la llista de principi</w:t>
      </w:r>
      <w:r>
        <w:rPr>
          <w:rFonts w:ascii="Arial" w:hAnsi="Arial" w:cs="Arial"/>
          <w:sz w:val="22"/>
          <w:szCs w:val="22"/>
          <w:lang w:val="ca-ES"/>
        </w:rPr>
        <w:t xml:space="preserve">s actius aprovats </w:t>
      </w:r>
      <w:r w:rsidR="00263EE6">
        <w:rPr>
          <w:rFonts w:ascii="Arial" w:hAnsi="Arial" w:cs="Arial"/>
          <w:sz w:val="22"/>
          <w:szCs w:val="22"/>
          <w:lang w:val="ca-ES"/>
        </w:rPr>
        <w:t>es va</w:t>
      </w:r>
      <w:r w:rsidR="002068F1">
        <w:rPr>
          <w:rFonts w:ascii="Arial" w:hAnsi="Arial" w:cs="Arial"/>
          <w:sz w:val="22"/>
          <w:szCs w:val="22"/>
          <w:lang w:val="ca-ES"/>
        </w:rPr>
        <w:t xml:space="preserve"> sotmetre a un procés de reavaluació</w:t>
      </w:r>
      <w:r w:rsidR="00E763FE">
        <w:rPr>
          <w:rFonts w:ascii="Arial" w:hAnsi="Arial" w:cs="Arial"/>
          <w:sz w:val="22"/>
          <w:szCs w:val="22"/>
          <w:lang w:val="ca-ES"/>
        </w:rPr>
        <w:t xml:space="preserve"> per part de l’EFSA que va incloure </w:t>
      </w:r>
      <w:r w:rsidR="002068F1">
        <w:rPr>
          <w:rFonts w:ascii="Arial" w:hAnsi="Arial" w:cs="Arial"/>
          <w:sz w:val="22"/>
          <w:szCs w:val="22"/>
          <w:lang w:val="ca-ES"/>
        </w:rPr>
        <w:t xml:space="preserve">una avaluació del risc </w:t>
      </w:r>
      <w:r w:rsidR="008E4F4D">
        <w:rPr>
          <w:rFonts w:ascii="Arial" w:hAnsi="Arial" w:cs="Arial"/>
          <w:sz w:val="22"/>
          <w:szCs w:val="22"/>
          <w:lang w:val="ca-ES"/>
        </w:rPr>
        <w:t xml:space="preserve">a partir dels </w:t>
      </w:r>
      <w:r w:rsidR="00247B87">
        <w:rPr>
          <w:rFonts w:ascii="Arial" w:hAnsi="Arial" w:cs="Arial"/>
          <w:sz w:val="22"/>
          <w:szCs w:val="22"/>
          <w:lang w:val="ca-ES"/>
        </w:rPr>
        <w:t xml:space="preserve">efectes </w:t>
      </w:r>
      <w:r w:rsidR="00E763FE">
        <w:rPr>
          <w:rFonts w:ascii="Arial" w:hAnsi="Arial" w:cs="Arial"/>
          <w:sz w:val="22"/>
          <w:szCs w:val="22"/>
          <w:lang w:val="ca-ES"/>
        </w:rPr>
        <w:t>del glifosat i el seus metabòlits i residus so</w:t>
      </w:r>
      <w:r w:rsidR="00247B87">
        <w:rPr>
          <w:rFonts w:ascii="Arial" w:hAnsi="Arial" w:cs="Arial"/>
          <w:sz w:val="22"/>
          <w:szCs w:val="22"/>
          <w:lang w:val="ca-ES"/>
        </w:rPr>
        <w:t>bre les persones -</w:t>
      </w:r>
      <w:r w:rsidR="002068F1">
        <w:rPr>
          <w:rFonts w:ascii="Arial" w:hAnsi="Arial" w:cs="Arial"/>
          <w:sz w:val="22"/>
          <w:szCs w:val="22"/>
          <w:lang w:val="ca-ES"/>
        </w:rPr>
        <w:t xml:space="preserve">toxicitat, </w:t>
      </w:r>
      <w:r w:rsidR="00D02935">
        <w:rPr>
          <w:rFonts w:ascii="Arial" w:hAnsi="Arial" w:cs="Arial"/>
          <w:sz w:val="22"/>
          <w:szCs w:val="22"/>
          <w:lang w:val="ca-ES"/>
        </w:rPr>
        <w:t>genotoxicitat</w:t>
      </w:r>
      <w:r w:rsidR="002068F1">
        <w:rPr>
          <w:rFonts w:ascii="Arial" w:hAnsi="Arial" w:cs="Arial"/>
          <w:sz w:val="22"/>
          <w:szCs w:val="22"/>
          <w:lang w:val="ca-ES"/>
        </w:rPr>
        <w:t>, carcino</w:t>
      </w:r>
      <w:r w:rsidR="000B49BA">
        <w:rPr>
          <w:rFonts w:ascii="Arial" w:hAnsi="Arial" w:cs="Arial"/>
          <w:sz w:val="22"/>
          <w:szCs w:val="22"/>
          <w:lang w:val="ca-ES"/>
        </w:rPr>
        <w:t xml:space="preserve">genicitat, disrupció </w:t>
      </w:r>
      <w:r w:rsidR="00247B87">
        <w:rPr>
          <w:rFonts w:ascii="Arial" w:hAnsi="Arial" w:cs="Arial"/>
          <w:sz w:val="22"/>
          <w:szCs w:val="22"/>
          <w:lang w:val="ca-ES"/>
        </w:rPr>
        <w:t>endocrina-</w:t>
      </w:r>
      <w:r w:rsidR="000B49BA">
        <w:rPr>
          <w:rFonts w:ascii="Arial" w:hAnsi="Arial" w:cs="Arial"/>
          <w:sz w:val="22"/>
          <w:szCs w:val="22"/>
          <w:lang w:val="ca-ES"/>
        </w:rPr>
        <w:t xml:space="preserve"> i</w:t>
      </w:r>
      <w:r w:rsidR="002068F1">
        <w:rPr>
          <w:rFonts w:ascii="Arial" w:hAnsi="Arial" w:cs="Arial"/>
          <w:sz w:val="22"/>
          <w:szCs w:val="22"/>
          <w:lang w:val="ca-ES"/>
        </w:rPr>
        <w:t xml:space="preserve"> els ecosistemes</w:t>
      </w:r>
      <w:r w:rsidR="000B49BA">
        <w:rPr>
          <w:rFonts w:ascii="Arial" w:hAnsi="Arial" w:cs="Arial"/>
          <w:sz w:val="22"/>
          <w:szCs w:val="22"/>
          <w:lang w:val="ca-ES"/>
        </w:rPr>
        <w:t xml:space="preserve"> </w:t>
      </w:r>
      <w:r w:rsidR="00E763FE">
        <w:rPr>
          <w:rFonts w:ascii="Arial" w:hAnsi="Arial" w:cs="Arial"/>
          <w:sz w:val="22"/>
          <w:szCs w:val="22"/>
          <w:lang w:val="ca-ES"/>
        </w:rPr>
        <w:t>i que</w:t>
      </w:r>
      <w:r w:rsidR="00BC4EC2">
        <w:rPr>
          <w:rFonts w:ascii="Arial" w:hAnsi="Arial" w:cs="Arial"/>
          <w:sz w:val="22"/>
          <w:szCs w:val="22"/>
          <w:lang w:val="ca-ES"/>
        </w:rPr>
        <w:t xml:space="preserve"> va </w:t>
      </w:r>
      <w:r w:rsidR="00E763FE">
        <w:rPr>
          <w:rFonts w:ascii="Arial" w:hAnsi="Arial" w:cs="Arial"/>
          <w:sz w:val="22"/>
          <w:szCs w:val="22"/>
          <w:lang w:val="ca-ES"/>
        </w:rPr>
        <w:t>tenir en compte les conclusions de</w:t>
      </w:r>
      <w:r w:rsidR="00BC4EC2">
        <w:rPr>
          <w:rFonts w:ascii="Arial" w:hAnsi="Arial" w:cs="Arial"/>
          <w:sz w:val="22"/>
          <w:szCs w:val="22"/>
          <w:lang w:val="ca-ES"/>
        </w:rPr>
        <w:t xml:space="preserve"> </w:t>
      </w:r>
      <w:r w:rsidR="007B4BEF">
        <w:rPr>
          <w:rFonts w:ascii="Arial" w:hAnsi="Arial" w:cs="Arial"/>
          <w:sz w:val="22"/>
          <w:szCs w:val="22"/>
          <w:lang w:val="ca-ES"/>
        </w:rPr>
        <w:t>la monografia</w:t>
      </w:r>
      <w:r w:rsidR="00BC4EC2">
        <w:rPr>
          <w:rFonts w:ascii="Arial" w:hAnsi="Arial" w:cs="Arial"/>
          <w:sz w:val="22"/>
          <w:szCs w:val="22"/>
          <w:lang w:val="ca-ES"/>
        </w:rPr>
        <w:t xml:space="preserve"> 112</w:t>
      </w:r>
      <w:r w:rsidR="00363B36">
        <w:rPr>
          <w:rFonts w:ascii="Arial" w:hAnsi="Arial" w:cs="Arial"/>
          <w:sz w:val="22"/>
          <w:szCs w:val="22"/>
          <w:lang w:val="ca-ES"/>
        </w:rPr>
        <w:t xml:space="preserve"> (2015)</w:t>
      </w:r>
      <w:r w:rsidR="00BC4EC2">
        <w:rPr>
          <w:rFonts w:ascii="Arial" w:hAnsi="Arial" w:cs="Arial"/>
          <w:sz w:val="22"/>
          <w:szCs w:val="22"/>
          <w:lang w:val="ca-ES"/>
        </w:rPr>
        <w:t xml:space="preserve"> de l</w:t>
      </w:r>
      <w:r w:rsidR="007B4BEF">
        <w:rPr>
          <w:rFonts w:ascii="Arial" w:hAnsi="Arial" w:cs="Arial"/>
          <w:sz w:val="22"/>
          <w:szCs w:val="22"/>
          <w:lang w:val="ca-ES"/>
        </w:rPr>
        <w:t>’Agència Internacional per la Investigació del Càncer (</w:t>
      </w:r>
      <w:r w:rsidR="00BC4EC2">
        <w:rPr>
          <w:rFonts w:ascii="Arial" w:hAnsi="Arial" w:cs="Arial"/>
          <w:sz w:val="22"/>
          <w:szCs w:val="22"/>
          <w:lang w:val="ca-ES"/>
        </w:rPr>
        <w:t>IARC</w:t>
      </w:r>
      <w:r w:rsidR="007B4BEF">
        <w:rPr>
          <w:rFonts w:ascii="Arial" w:hAnsi="Arial" w:cs="Arial"/>
          <w:sz w:val="22"/>
          <w:szCs w:val="22"/>
          <w:lang w:val="ca-ES"/>
        </w:rPr>
        <w:t>) per la transcendència</w:t>
      </w:r>
      <w:r w:rsidR="00BC4EC2">
        <w:rPr>
          <w:rFonts w:ascii="Arial" w:hAnsi="Arial" w:cs="Arial"/>
          <w:sz w:val="22"/>
          <w:szCs w:val="22"/>
          <w:lang w:val="ca-ES"/>
        </w:rPr>
        <w:t xml:space="preserve"> que podia ten</w:t>
      </w:r>
      <w:r w:rsidR="007B4BEF">
        <w:rPr>
          <w:rFonts w:ascii="Arial" w:hAnsi="Arial" w:cs="Arial"/>
          <w:sz w:val="22"/>
          <w:szCs w:val="22"/>
          <w:lang w:val="ca-ES"/>
        </w:rPr>
        <w:t>i</w:t>
      </w:r>
      <w:r w:rsidR="00BC4EC2">
        <w:rPr>
          <w:rFonts w:ascii="Arial" w:hAnsi="Arial" w:cs="Arial"/>
          <w:sz w:val="22"/>
          <w:szCs w:val="22"/>
          <w:lang w:val="ca-ES"/>
        </w:rPr>
        <w:t xml:space="preserve">r </w:t>
      </w:r>
      <w:r w:rsidR="007B4BEF">
        <w:rPr>
          <w:rFonts w:ascii="Arial" w:hAnsi="Arial" w:cs="Arial"/>
          <w:sz w:val="22"/>
          <w:szCs w:val="22"/>
          <w:lang w:val="ca-ES"/>
        </w:rPr>
        <w:t xml:space="preserve">el </w:t>
      </w:r>
      <w:r w:rsidR="00363B36">
        <w:rPr>
          <w:rFonts w:ascii="Arial" w:hAnsi="Arial" w:cs="Arial"/>
          <w:sz w:val="22"/>
          <w:szCs w:val="22"/>
          <w:lang w:val="ca-ES"/>
        </w:rPr>
        <w:t>fet que s’hi</w:t>
      </w:r>
      <w:r w:rsidR="007B4BEF">
        <w:rPr>
          <w:rFonts w:ascii="Arial" w:hAnsi="Arial" w:cs="Arial"/>
          <w:sz w:val="22"/>
          <w:szCs w:val="22"/>
          <w:lang w:val="ca-ES"/>
        </w:rPr>
        <w:t xml:space="preserve"> classificava e</w:t>
      </w:r>
      <w:r w:rsidR="00BC4EC2">
        <w:rPr>
          <w:rFonts w:ascii="Arial" w:hAnsi="Arial" w:cs="Arial"/>
          <w:sz w:val="22"/>
          <w:szCs w:val="22"/>
          <w:lang w:val="ca-ES"/>
        </w:rPr>
        <w:t xml:space="preserve">l glifosat com a “probable </w:t>
      </w:r>
      <w:r w:rsidR="007B4BEF">
        <w:rPr>
          <w:rFonts w:ascii="Arial" w:hAnsi="Arial" w:cs="Arial"/>
          <w:sz w:val="22"/>
          <w:szCs w:val="22"/>
          <w:lang w:val="ca-ES"/>
        </w:rPr>
        <w:t>carcinogen per a humans</w:t>
      </w:r>
      <w:r w:rsidR="00BC4EC2">
        <w:rPr>
          <w:rFonts w:ascii="Arial" w:hAnsi="Arial" w:cs="Arial"/>
          <w:sz w:val="22"/>
          <w:szCs w:val="22"/>
          <w:lang w:val="ca-ES"/>
        </w:rPr>
        <w:t>”.</w:t>
      </w:r>
    </w:p>
    <w:p w:rsidR="0057510A" w:rsidRDefault="0057510A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</w:p>
    <w:p w:rsidR="007B4BEF" w:rsidRDefault="007F0EA9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Les principals conclusions de l’avaluació del risc de l’EFSA </w:t>
      </w:r>
      <w:r w:rsidR="009842B6">
        <w:rPr>
          <w:rFonts w:ascii="Arial" w:hAnsi="Arial" w:cs="Arial"/>
          <w:sz w:val="22"/>
          <w:szCs w:val="22"/>
          <w:lang w:val="ca-ES"/>
        </w:rPr>
        <w:t xml:space="preserve">sobre el glifosat </w:t>
      </w:r>
      <w:r>
        <w:rPr>
          <w:rFonts w:ascii="Arial" w:hAnsi="Arial" w:cs="Arial"/>
          <w:sz w:val="22"/>
          <w:szCs w:val="22"/>
          <w:lang w:val="ca-ES"/>
        </w:rPr>
        <w:t>van ser:</w:t>
      </w:r>
    </w:p>
    <w:p w:rsidR="007F0EA9" w:rsidRDefault="007F0EA9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  <w:t>-Presenta una baixa toxicitat aguda per via oral, dèrmica i inhalatòria</w:t>
      </w:r>
    </w:p>
    <w:p w:rsidR="007F0EA9" w:rsidRDefault="007F0EA9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  <w:t>-No té potencial genotòxic ni evidències de carcinogenicitat en rates ni ratolins</w:t>
      </w:r>
    </w:p>
    <w:p w:rsidR="007F0EA9" w:rsidRDefault="007F0EA9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  <w:t>-No presenta probabilitat de risc de ser carcinogen per a humans</w:t>
      </w:r>
    </w:p>
    <w:p w:rsidR="00D02935" w:rsidRDefault="007F0EA9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ab/>
        <w:t>-</w:t>
      </w:r>
      <w:r w:rsidR="00135EE2">
        <w:rPr>
          <w:rFonts w:ascii="Arial" w:hAnsi="Arial" w:cs="Arial"/>
          <w:sz w:val="22"/>
          <w:szCs w:val="22"/>
          <w:lang w:val="ca-ES"/>
        </w:rPr>
        <w:t>Dones embarassades, nadons i infants</w:t>
      </w:r>
      <w:r>
        <w:rPr>
          <w:rFonts w:ascii="Arial" w:hAnsi="Arial" w:cs="Arial"/>
          <w:sz w:val="22"/>
          <w:szCs w:val="22"/>
          <w:lang w:val="ca-ES"/>
        </w:rPr>
        <w:t xml:space="preserve"> són el g</w:t>
      </w:r>
      <w:r w:rsidR="00636ED3">
        <w:rPr>
          <w:rFonts w:ascii="Arial" w:hAnsi="Arial" w:cs="Arial"/>
          <w:sz w:val="22"/>
          <w:szCs w:val="22"/>
          <w:lang w:val="ca-ES"/>
        </w:rPr>
        <w:t>rup de població més susceptible</w:t>
      </w:r>
    </w:p>
    <w:p w:rsidR="00D02935" w:rsidRDefault="00CC6062" w:rsidP="00490FB5">
      <w:pPr>
        <w:spacing w:line="300" w:lineRule="exact"/>
        <w:ind w:left="709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-N</w:t>
      </w:r>
      <w:r w:rsidR="00B725B9">
        <w:rPr>
          <w:rFonts w:ascii="Arial" w:hAnsi="Arial" w:cs="Arial"/>
          <w:sz w:val="22"/>
          <w:szCs w:val="22"/>
          <w:lang w:val="ca-ES"/>
        </w:rPr>
        <w:t xml:space="preserve">o hi ha evidències per a </w:t>
      </w:r>
      <w:r>
        <w:rPr>
          <w:rFonts w:ascii="Arial" w:hAnsi="Arial" w:cs="Arial"/>
          <w:sz w:val="22"/>
          <w:szCs w:val="22"/>
          <w:lang w:val="ca-ES"/>
        </w:rPr>
        <w:t>classificar-lo</w:t>
      </w:r>
      <w:r w:rsidR="00B725B9">
        <w:rPr>
          <w:rFonts w:ascii="Arial" w:hAnsi="Arial" w:cs="Arial"/>
          <w:sz w:val="22"/>
          <w:szCs w:val="22"/>
          <w:lang w:val="ca-ES"/>
        </w:rPr>
        <w:t xml:space="preserve"> com a potencial cancerigen</w:t>
      </w:r>
      <w:r>
        <w:rPr>
          <w:rFonts w:ascii="Arial" w:hAnsi="Arial" w:cs="Arial"/>
          <w:sz w:val="22"/>
          <w:szCs w:val="22"/>
          <w:lang w:val="ca-ES"/>
        </w:rPr>
        <w:t xml:space="preserve">, </w:t>
      </w:r>
      <w:r w:rsidR="00B725B9">
        <w:rPr>
          <w:rFonts w:ascii="Arial" w:hAnsi="Arial" w:cs="Arial"/>
          <w:sz w:val="22"/>
          <w:szCs w:val="22"/>
          <w:lang w:val="ca-ES"/>
        </w:rPr>
        <w:t>però és l’Agència Europea de Substàncies i Mescles Químiques (ECHA) la responsable de fer aquesta classificació.</w:t>
      </w:r>
    </w:p>
    <w:p w:rsidR="00363B36" w:rsidRDefault="00363B36" w:rsidP="00363B36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</w:p>
    <w:p w:rsidR="00E92C96" w:rsidRDefault="00D72E6C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>Els motius tècnics de l</w:t>
      </w:r>
      <w:r w:rsidR="002A0E7F">
        <w:rPr>
          <w:rFonts w:ascii="Arial" w:hAnsi="Arial" w:cs="Arial"/>
          <w:sz w:val="22"/>
          <w:szCs w:val="22"/>
          <w:lang w:val="ca-ES"/>
        </w:rPr>
        <w:t>es</w:t>
      </w:r>
      <w:r w:rsidR="00B725B9">
        <w:rPr>
          <w:rFonts w:ascii="Arial" w:hAnsi="Arial" w:cs="Arial"/>
          <w:sz w:val="22"/>
          <w:szCs w:val="22"/>
          <w:lang w:val="ca-ES"/>
        </w:rPr>
        <w:t xml:space="preserve"> </w:t>
      </w:r>
      <w:r w:rsidR="002A0E7F">
        <w:rPr>
          <w:rFonts w:ascii="Arial" w:hAnsi="Arial" w:cs="Arial"/>
          <w:sz w:val="22"/>
          <w:szCs w:val="22"/>
          <w:lang w:val="ca-ES"/>
        </w:rPr>
        <w:t>divergències en</w:t>
      </w:r>
      <w:r w:rsidR="00C4158C">
        <w:rPr>
          <w:rFonts w:ascii="Arial" w:hAnsi="Arial" w:cs="Arial"/>
          <w:sz w:val="22"/>
          <w:szCs w:val="22"/>
          <w:lang w:val="ca-ES"/>
        </w:rPr>
        <w:t>tre</w:t>
      </w:r>
      <w:r w:rsidR="002A0E7F">
        <w:rPr>
          <w:rFonts w:ascii="Arial" w:hAnsi="Arial" w:cs="Arial"/>
          <w:sz w:val="22"/>
          <w:szCs w:val="22"/>
          <w:lang w:val="ca-ES"/>
        </w:rPr>
        <w:t xml:space="preserve"> les conclusions</w:t>
      </w:r>
      <w:r>
        <w:rPr>
          <w:rFonts w:ascii="Arial" w:hAnsi="Arial" w:cs="Arial"/>
          <w:sz w:val="22"/>
          <w:szCs w:val="22"/>
          <w:lang w:val="ca-ES"/>
        </w:rPr>
        <w:t xml:space="preserve"> de la IARC i l’EFSA</w:t>
      </w:r>
      <w:r w:rsidR="002A0E7F">
        <w:rPr>
          <w:rFonts w:ascii="Arial" w:hAnsi="Arial" w:cs="Arial"/>
          <w:sz w:val="22"/>
          <w:szCs w:val="22"/>
          <w:lang w:val="ca-ES"/>
        </w:rPr>
        <w:t xml:space="preserve"> sobre la capacitat carcinògena del glifosat</w:t>
      </w:r>
      <w:r w:rsidR="00D02935">
        <w:rPr>
          <w:rFonts w:ascii="Arial" w:hAnsi="Arial" w:cs="Arial"/>
          <w:sz w:val="22"/>
          <w:szCs w:val="22"/>
          <w:lang w:val="ca-ES"/>
        </w:rPr>
        <w:t xml:space="preserve"> </w:t>
      </w:r>
      <w:r>
        <w:rPr>
          <w:rFonts w:ascii="Arial" w:hAnsi="Arial" w:cs="Arial"/>
          <w:sz w:val="22"/>
          <w:szCs w:val="22"/>
          <w:lang w:val="ca-ES"/>
        </w:rPr>
        <w:t>han estat explicades però no han esvaït del tot la incertesa generada. En tot cas, són de destacar</w:t>
      </w:r>
      <w:r w:rsidR="00363B36">
        <w:rPr>
          <w:rFonts w:ascii="Arial" w:hAnsi="Arial" w:cs="Arial"/>
          <w:sz w:val="22"/>
          <w:szCs w:val="22"/>
          <w:lang w:val="ca-ES"/>
        </w:rPr>
        <w:t xml:space="preserve"> les </w:t>
      </w:r>
      <w:r w:rsidR="002A0E7F">
        <w:rPr>
          <w:rFonts w:ascii="Arial" w:hAnsi="Arial" w:cs="Arial"/>
          <w:sz w:val="22"/>
          <w:szCs w:val="22"/>
          <w:lang w:val="ca-ES"/>
        </w:rPr>
        <w:t>conclusions de l’informe</w:t>
      </w:r>
      <w:r w:rsidR="00363B36">
        <w:rPr>
          <w:rFonts w:ascii="Arial" w:hAnsi="Arial" w:cs="Arial"/>
          <w:sz w:val="22"/>
          <w:szCs w:val="22"/>
          <w:lang w:val="ca-ES"/>
        </w:rPr>
        <w:t xml:space="preserve"> de l’any 2016</w:t>
      </w:r>
      <w:r w:rsidR="002A0E7F">
        <w:rPr>
          <w:rFonts w:ascii="Arial" w:hAnsi="Arial" w:cs="Arial"/>
          <w:sz w:val="22"/>
          <w:szCs w:val="22"/>
          <w:lang w:val="ca-ES"/>
        </w:rPr>
        <w:t xml:space="preserve"> del Comitè Conjunt FAO/OMS sobre residus de pesticides que considera que el glifosat no és genotòxic ni cancerigen per</w:t>
      </w:r>
      <w:r>
        <w:rPr>
          <w:rFonts w:ascii="Arial" w:hAnsi="Arial" w:cs="Arial"/>
          <w:sz w:val="22"/>
          <w:szCs w:val="22"/>
          <w:lang w:val="ca-ES"/>
        </w:rPr>
        <w:t xml:space="preserve"> als humans per via alimentària.</w:t>
      </w:r>
    </w:p>
    <w:p w:rsidR="00D72E6C" w:rsidRDefault="00D72E6C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</w:p>
    <w:p w:rsidR="00363B36" w:rsidRDefault="00363B36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En el procés de reavaluació també s’estudià la tallowamina polietoxilada –coformulant habitual en productes a base de glifosat- </w:t>
      </w:r>
      <w:r w:rsidR="00135EE2">
        <w:rPr>
          <w:rFonts w:ascii="Arial" w:hAnsi="Arial" w:cs="Arial"/>
          <w:sz w:val="22"/>
          <w:szCs w:val="22"/>
          <w:lang w:val="ca-ES"/>
        </w:rPr>
        <w:t xml:space="preserve">com a possible carcinogen  i es va concloure que no complia </w:t>
      </w:r>
      <w:r w:rsidR="00373986">
        <w:rPr>
          <w:rFonts w:ascii="Arial" w:hAnsi="Arial" w:cs="Arial"/>
          <w:sz w:val="22"/>
          <w:szCs w:val="22"/>
          <w:lang w:val="ca-ES"/>
        </w:rPr>
        <w:t>els requisits de seguretat per a ser usat com a coformulant.</w:t>
      </w:r>
    </w:p>
    <w:p w:rsidR="00363B36" w:rsidRDefault="00363B36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</w:p>
    <w:p w:rsidR="00D72E6C" w:rsidRDefault="00D72E6C" w:rsidP="00D02935">
      <w:pPr>
        <w:spacing w:line="300" w:lineRule="exact"/>
        <w:jc w:val="both"/>
        <w:rPr>
          <w:rFonts w:ascii="Arial" w:hAnsi="Arial" w:cs="Arial"/>
          <w:sz w:val="22"/>
          <w:szCs w:val="22"/>
          <w:lang w:val="ca-ES"/>
        </w:rPr>
      </w:pPr>
      <w:r>
        <w:rPr>
          <w:rFonts w:ascii="Arial" w:hAnsi="Arial" w:cs="Arial"/>
          <w:sz w:val="22"/>
          <w:szCs w:val="22"/>
          <w:lang w:val="ca-ES"/>
        </w:rPr>
        <w:t xml:space="preserve">La Comissió Europea ha prorrogat el període d’aprovació del glifosat en espera de les conclusions de </w:t>
      </w:r>
      <w:proofErr w:type="spellStart"/>
      <w:r>
        <w:rPr>
          <w:rFonts w:ascii="Arial" w:hAnsi="Arial" w:cs="Arial"/>
          <w:sz w:val="22"/>
          <w:szCs w:val="22"/>
          <w:lang w:val="ca-ES"/>
        </w:rPr>
        <w:t>l’ECHA</w:t>
      </w:r>
      <w:proofErr w:type="spellEnd"/>
      <w:r w:rsidR="00DA6557">
        <w:rPr>
          <w:rFonts w:ascii="Arial" w:hAnsi="Arial" w:cs="Arial"/>
          <w:sz w:val="22"/>
          <w:szCs w:val="22"/>
          <w:lang w:val="ca-ES"/>
        </w:rPr>
        <w:t xml:space="preserve">. A més, </w:t>
      </w:r>
      <w:r>
        <w:rPr>
          <w:rFonts w:ascii="Arial" w:hAnsi="Arial" w:cs="Arial"/>
          <w:sz w:val="22"/>
          <w:szCs w:val="22"/>
          <w:lang w:val="ca-ES"/>
        </w:rPr>
        <w:t xml:space="preserve">ha afegit </w:t>
      </w:r>
      <w:r w:rsidR="00135EE2">
        <w:rPr>
          <w:rFonts w:ascii="Arial" w:hAnsi="Arial" w:cs="Arial"/>
          <w:sz w:val="22"/>
          <w:szCs w:val="22"/>
          <w:lang w:val="ca-ES"/>
        </w:rPr>
        <w:t>condicions</w:t>
      </w:r>
      <w:r>
        <w:rPr>
          <w:rFonts w:ascii="Arial" w:hAnsi="Arial" w:cs="Arial"/>
          <w:sz w:val="22"/>
          <w:szCs w:val="22"/>
          <w:lang w:val="ca-ES"/>
        </w:rPr>
        <w:t xml:space="preserve"> </w:t>
      </w:r>
      <w:r w:rsidR="00DA6557">
        <w:rPr>
          <w:rFonts w:ascii="Arial" w:hAnsi="Arial" w:cs="Arial"/>
          <w:sz w:val="22"/>
          <w:szCs w:val="22"/>
          <w:lang w:val="ca-ES"/>
        </w:rPr>
        <w:t>a</w:t>
      </w:r>
      <w:r>
        <w:rPr>
          <w:rFonts w:ascii="Arial" w:hAnsi="Arial" w:cs="Arial"/>
          <w:sz w:val="22"/>
          <w:szCs w:val="22"/>
          <w:lang w:val="ca-ES"/>
        </w:rPr>
        <w:t xml:space="preserve"> les autoritzacions</w:t>
      </w:r>
      <w:r w:rsidR="00DA6557">
        <w:rPr>
          <w:rFonts w:ascii="Arial" w:hAnsi="Arial" w:cs="Arial"/>
          <w:sz w:val="22"/>
          <w:szCs w:val="22"/>
          <w:lang w:val="ca-ES"/>
        </w:rPr>
        <w:t>,</w:t>
      </w:r>
      <w:r>
        <w:rPr>
          <w:rFonts w:ascii="Arial" w:hAnsi="Arial" w:cs="Arial"/>
          <w:sz w:val="22"/>
          <w:szCs w:val="22"/>
          <w:lang w:val="ca-ES"/>
        </w:rPr>
        <w:t xml:space="preserve"> que </w:t>
      </w:r>
      <w:r w:rsidR="00DA6557">
        <w:rPr>
          <w:rFonts w:ascii="Arial" w:hAnsi="Arial" w:cs="Arial"/>
          <w:sz w:val="22"/>
          <w:szCs w:val="22"/>
          <w:lang w:val="ca-ES"/>
        </w:rPr>
        <w:t>hauran d’atendre</w:t>
      </w:r>
      <w:r>
        <w:rPr>
          <w:rFonts w:ascii="Arial" w:hAnsi="Arial" w:cs="Arial"/>
          <w:sz w:val="22"/>
          <w:szCs w:val="22"/>
          <w:lang w:val="ca-ES"/>
        </w:rPr>
        <w:t xml:space="preserve"> als riscos deri</w:t>
      </w:r>
      <w:r w:rsidR="00AE2310">
        <w:rPr>
          <w:rFonts w:ascii="Arial" w:hAnsi="Arial" w:cs="Arial"/>
          <w:sz w:val="22"/>
          <w:szCs w:val="22"/>
          <w:lang w:val="ca-ES"/>
        </w:rPr>
        <w:t>vats d’aplicacions en parcs i jardins públics, camps d’esport i àrees d’esbarjo, escolars i de joc infantil –reduint al màxim o prohibint</w:t>
      </w:r>
      <w:r w:rsidR="00DA6557">
        <w:rPr>
          <w:rFonts w:ascii="Arial" w:hAnsi="Arial" w:cs="Arial"/>
          <w:sz w:val="22"/>
          <w:szCs w:val="22"/>
          <w:lang w:val="ca-ES"/>
        </w:rPr>
        <w:t>-n</w:t>
      </w:r>
      <w:r w:rsidR="0043258A">
        <w:rPr>
          <w:rFonts w:ascii="Arial" w:hAnsi="Arial" w:cs="Arial"/>
          <w:sz w:val="22"/>
          <w:szCs w:val="22"/>
          <w:lang w:val="ca-ES"/>
        </w:rPr>
        <w:t>e</w:t>
      </w:r>
      <w:r w:rsidR="00AE2310">
        <w:rPr>
          <w:rFonts w:ascii="Arial" w:hAnsi="Arial" w:cs="Arial"/>
          <w:sz w:val="22"/>
          <w:szCs w:val="22"/>
          <w:lang w:val="ca-ES"/>
        </w:rPr>
        <w:t xml:space="preserve"> el seu </w:t>
      </w:r>
      <w:proofErr w:type="spellStart"/>
      <w:r w:rsidR="00AE2310">
        <w:rPr>
          <w:rFonts w:ascii="Arial" w:hAnsi="Arial" w:cs="Arial"/>
          <w:sz w:val="22"/>
          <w:szCs w:val="22"/>
          <w:lang w:val="ca-ES"/>
        </w:rPr>
        <w:t>ús-</w:t>
      </w:r>
      <w:proofErr w:type="spellEnd"/>
      <w:r w:rsidR="009D5388">
        <w:rPr>
          <w:rFonts w:ascii="Arial" w:hAnsi="Arial" w:cs="Arial"/>
          <w:sz w:val="22"/>
          <w:szCs w:val="22"/>
          <w:lang w:val="ca-ES"/>
        </w:rPr>
        <w:t>;</w:t>
      </w:r>
      <w:r>
        <w:rPr>
          <w:rFonts w:ascii="Arial" w:hAnsi="Arial" w:cs="Arial"/>
          <w:sz w:val="22"/>
          <w:szCs w:val="22"/>
          <w:lang w:val="ca-ES"/>
        </w:rPr>
        <w:t xml:space="preserve"> a</w:t>
      </w:r>
      <w:r w:rsidR="00DA6557">
        <w:rPr>
          <w:rFonts w:ascii="Arial" w:hAnsi="Arial" w:cs="Arial"/>
          <w:sz w:val="22"/>
          <w:szCs w:val="22"/>
          <w:lang w:val="ca-ES"/>
        </w:rPr>
        <w:t xml:space="preserve"> la protecció dels aqüífers</w:t>
      </w:r>
      <w:r w:rsidR="009D5388">
        <w:rPr>
          <w:rFonts w:ascii="Arial" w:hAnsi="Arial" w:cs="Arial"/>
          <w:sz w:val="22"/>
          <w:szCs w:val="22"/>
          <w:lang w:val="ca-ES"/>
        </w:rPr>
        <w:t>, especialment, en usos no agrícoles;</w:t>
      </w:r>
      <w:r w:rsidR="003D585D">
        <w:rPr>
          <w:rFonts w:ascii="Arial" w:hAnsi="Arial" w:cs="Arial"/>
          <w:sz w:val="22"/>
          <w:szCs w:val="22"/>
          <w:lang w:val="ca-ES"/>
        </w:rPr>
        <w:t xml:space="preserve"> </w:t>
      </w:r>
      <w:r w:rsidR="00AE2310">
        <w:rPr>
          <w:rFonts w:ascii="Arial" w:hAnsi="Arial" w:cs="Arial"/>
          <w:sz w:val="22"/>
          <w:szCs w:val="22"/>
          <w:lang w:val="ca-ES"/>
        </w:rPr>
        <w:t>i a excloure</w:t>
      </w:r>
      <w:r w:rsidR="003D585D">
        <w:rPr>
          <w:rFonts w:ascii="Arial" w:hAnsi="Arial" w:cs="Arial"/>
          <w:sz w:val="22"/>
          <w:szCs w:val="22"/>
          <w:lang w:val="ca-ES"/>
        </w:rPr>
        <w:t xml:space="preserve"> l’ús del coformulant tallowamina polietoxilada.</w:t>
      </w:r>
    </w:p>
    <w:p w:rsidR="009D5388" w:rsidRDefault="009D5388" w:rsidP="005C47B3">
      <w:pPr>
        <w:spacing w:line="360" w:lineRule="auto"/>
        <w:jc w:val="both"/>
        <w:rPr>
          <w:rFonts w:ascii="Arial" w:hAnsi="Arial" w:cs="Arial"/>
          <w:sz w:val="22"/>
          <w:szCs w:val="22"/>
          <w:lang w:val="ca-ES"/>
        </w:rPr>
      </w:pPr>
    </w:p>
    <w:p w:rsidR="00EE7539" w:rsidRPr="00EE7539" w:rsidRDefault="00EE7539" w:rsidP="00E92C96">
      <w:pPr>
        <w:pStyle w:val="Default"/>
        <w:rPr>
          <w:rFonts w:ascii="Arial" w:hAnsi="Arial" w:cs="Arial"/>
        </w:rPr>
      </w:pPr>
      <w:r w:rsidRPr="00EE7539">
        <w:rPr>
          <w:rFonts w:ascii="Arial" w:hAnsi="Arial" w:cs="Arial"/>
        </w:rPr>
        <w:t>Agència Catalana de Seguretat Alimentària</w:t>
      </w:r>
    </w:p>
    <w:p w:rsidR="00AA54E6" w:rsidRPr="00EE7539" w:rsidRDefault="009842B6">
      <w:pPr>
        <w:pStyle w:val="Default"/>
        <w:rPr>
          <w:rFonts w:ascii="Arial" w:hAnsi="Arial" w:cs="Arial"/>
          <w:sz w:val="18"/>
          <w:szCs w:val="18"/>
        </w:rPr>
      </w:pPr>
      <w:r w:rsidRPr="00EE7539">
        <w:rPr>
          <w:rFonts w:ascii="Arial" w:hAnsi="Arial" w:cs="Arial"/>
          <w:sz w:val="18"/>
          <w:szCs w:val="18"/>
        </w:rPr>
        <w:t>3 de novembre</w:t>
      </w:r>
      <w:r w:rsidR="000C300A" w:rsidRPr="00EE7539">
        <w:rPr>
          <w:rFonts w:ascii="Arial" w:hAnsi="Arial" w:cs="Arial"/>
          <w:sz w:val="18"/>
          <w:szCs w:val="18"/>
        </w:rPr>
        <w:t xml:space="preserve"> de 2016</w:t>
      </w:r>
    </w:p>
    <w:p w:rsidR="00490FB5" w:rsidRDefault="00490FB5">
      <w:pPr>
        <w:pStyle w:val="Default"/>
        <w:rPr>
          <w:rFonts w:ascii="Arial" w:hAnsi="Arial" w:cs="Arial"/>
          <w:b/>
          <w:sz w:val="18"/>
          <w:szCs w:val="18"/>
        </w:rPr>
      </w:pPr>
    </w:p>
    <w:p w:rsidR="00490FB5" w:rsidRPr="00490FB5" w:rsidRDefault="00490FB5">
      <w:pPr>
        <w:pStyle w:val="Default"/>
        <w:rPr>
          <w:rFonts w:ascii="Arial" w:hAnsi="Arial" w:cs="Arial"/>
          <w:sz w:val="16"/>
          <w:szCs w:val="16"/>
        </w:rPr>
      </w:pPr>
      <w:r w:rsidRPr="006152DF">
        <w:rPr>
          <w:rFonts w:ascii="Arial" w:hAnsi="Arial" w:cs="Arial"/>
          <w:sz w:val="16"/>
          <w:szCs w:val="16"/>
        </w:rPr>
        <w:t xml:space="preserve">Més informació a la web de </w:t>
      </w:r>
      <w:proofErr w:type="spellStart"/>
      <w:r w:rsidRPr="006152DF">
        <w:rPr>
          <w:rFonts w:ascii="Arial" w:hAnsi="Arial" w:cs="Arial"/>
          <w:sz w:val="16"/>
          <w:szCs w:val="16"/>
        </w:rPr>
        <w:t>l’ACSA</w:t>
      </w:r>
      <w:proofErr w:type="spellEnd"/>
      <w:r w:rsidR="00971BD0" w:rsidRPr="006152DF">
        <w:rPr>
          <w:rFonts w:ascii="Arial" w:hAnsi="Arial" w:cs="Arial"/>
          <w:sz w:val="16"/>
          <w:szCs w:val="16"/>
        </w:rPr>
        <w:t xml:space="preserve">: </w:t>
      </w:r>
      <w:hyperlink r:id="rId7" w:history="1">
        <w:proofErr w:type="spellStart"/>
        <w:r w:rsidR="005C50A9" w:rsidRPr="005C50A9">
          <w:rPr>
            <w:rStyle w:val="Enlla"/>
            <w:rFonts w:ascii="Arial" w:hAnsi="Arial" w:cs="Arial"/>
            <w:sz w:val="16"/>
            <w:szCs w:val="16"/>
          </w:rPr>
          <w:t>ACSAbrief</w:t>
        </w:r>
        <w:proofErr w:type="spellEnd"/>
        <w:r w:rsidR="005C50A9" w:rsidRPr="005C50A9">
          <w:rPr>
            <w:rStyle w:val="Enlla"/>
            <w:rFonts w:ascii="Arial" w:hAnsi="Arial" w:cs="Arial"/>
            <w:sz w:val="16"/>
            <w:szCs w:val="16"/>
          </w:rPr>
          <w:t xml:space="preserve"> Setembre/Octubre</w:t>
        </w:r>
        <w:r w:rsidR="00971BD0" w:rsidRPr="005C50A9">
          <w:rPr>
            <w:rStyle w:val="Enlla"/>
            <w:rFonts w:ascii="Arial" w:hAnsi="Arial" w:cs="Arial"/>
            <w:sz w:val="16"/>
            <w:szCs w:val="16"/>
          </w:rPr>
          <w:t>2016. La reavaluació del glifosat</w:t>
        </w:r>
      </w:hyperlink>
    </w:p>
    <w:sectPr w:rsidR="00490FB5" w:rsidRPr="00490FB5" w:rsidSect="00B725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8" w:right="1134" w:bottom="1985" w:left="1701" w:header="567" w:footer="73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557" w:rsidRDefault="00DA6557">
      <w:r>
        <w:separator/>
      </w:r>
    </w:p>
  </w:endnote>
  <w:endnote w:type="continuationSeparator" w:id="0">
    <w:p w:rsidR="00DA6557" w:rsidRDefault="00DA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1594"/>
      <w:docPartObj>
        <w:docPartGallery w:val="Page Numbers (Bottom of Page)"/>
        <w:docPartUnique/>
      </w:docPartObj>
    </w:sdtPr>
    <w:sdtContent>
      <w:p w:rsidR="00DA6557" w:rsidRDefault="00C40847">
        <w:pPr>
          <w:pStyle w:val="Peu"/>
          <w:jc w:val="center"/>
        </w:pPr>
        <w:fldSimple w:instr=" PAGE   \* MERGEFORMAT ">
          <w:r w:rsidR="00EE7539">
            <w:rPr>
              <w:noProof/>
            </w:rPr>
            <w:t>2</w:t>
          </w:r>
        </w:fldSimple>
        <w:r w:rsidR="00DA6557">
          <w:t>/</w:t>
        </w:r>
        <w:fldSimple w:instr=" NUMPAGES   \* MERGEFORMAT ">
          <w:r w:rsidR="00EE7539">
            <w:rPr>
              <w:noProof/>
            </w:rPr>
            <w:t>2</w:t>
          </w:r>
        </w:fldSimple>
      </w:p>
    </w:sdtContent>
  </w:sdt>
  <w:p w:rsidR="00DA6557" w:rsidRDefault="00DA6557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557" w:rsidRDefault="00DA6557">
      <w:r>
        <w:separator/>
      </w:r>
    </w:p>
  </w:footnote>
  <w:footnote w:type="continuationSeparator" w:id="0">
    <w:p w:rsidR="00DA6557" w:rsidRDefault="00DA6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57" w:rsidRDefault="00C40847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55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6557" w:rsidRDefault="00DA6557">
    <w:pPr>
      <w:pStyle w:val="Capaler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57" w:rsidRPr="005B1DED" w:rsidRDefault="00DA6557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  <w:r>
      <w:rPr>
        <w:sz w:val="20"/>
      </w:rPr>
      <w:tab/>
    </w:r>
    <w:r>
      <w:rPr>
        <w:noProof/>
        <w:sz w:val="20"/>
        <w:lang w:val="ca-ES" w:bidi="ar-SA"/>
      </w:rPr>
      <w:drawing>
        <wp:inline distT="0" distB="0" distL="0" distR="0">
          <wp:extent cx="1828800" cy="371475"/>
          <wp:effectExtent l="19050" t="0" r="0" b="0"/>
          <wp:docPr id="2" name="Imatge 2" descr="ssp_sgsa-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p_sgsa-4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557" w:rsidRDefault="00DA6557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</w:p>
  <w:p w:rsidR="00DA6557" w:rsidRDefault="00DA6557">
    <w:pPr>
      <w:pStyle w:val="Capalera"/>
      <w:tabs>
        <w:tab w:val="clear" w:pos="4252"/>
        <w:tab w:val="clear" w:pos="8504"/>
      </w:tabs>
      <w:ind w:left="-567" w:right="360"/>
      <w:rPr>
        <w:sz w:val="20"/>
      </w:rPr>
    </w:pPr>
  </w:p>
  <w:p w:rsidR="00DA6557" w:rsidRDefault="00C40847" w:rsidP="004459B7">
    <w:pPr>
      <w:pStyle w:val="Capalera"/>
      <w:tabs>
        <w:tab w:val="clear" w:pos="4252"/>
        <w:tab w:val="clear" w:pos="8504"/>
      </w:tabs>
      <w:spacing w:before="80"/>
      <w:ind w:left="-567" w:right="357"/>
      <w:rPr>
        <w:rFonts w:ascii="Arial" w:hAnsi="Arial" w:cs="Arial"/>
        <w:sz w:val="16"/>
        <w:szCs w:val="16"/>
        <w:lang w:val="ca-ES"/>
      </w:rPr>
    </w:pPr>
    <w:r>
      <w:rPr>
        <w:rFonts w:ascii="Arial" w:hAnsi="Arial" w:cs="Arial"/>
        <w:sz w:val="16"/>
        <w:szCs w:val="16"/>
        <w:lang w:val="ca-ES"/>
      </w:rPr>
      <w:pict>
        <v:line id="_x0000_s2050" style="position:absolute;left:0;text-align:left;z-index:251657728;mso-position-horizontal-relative:page;mso-position-vertical-relative:page" from="-4.95pt,288.2pt" to="23.4pt,288.2pt" o:allowincell="f" strokeweight=".25pt">
          <w10:wrap anchorx="page" anchory="page"/>
        </v:line>
      </w:pict>
    </w:r>
    <w:r w:rsidR="00DA6557" w:rsidRPr="00C50E5F">
      <w:rPr>
        <w:rFonts w:ascii="Arial" w:hAnsi="Arial" w:cs="Arial"/>
        <w:sz w:val="16"/>
        <w:szCs w:val="16"/>
        <w:lang w:val="ca-ES"/>
      </w:rPr>
      <w:tab/>
    </w:r>
  </w:p>
  <w:p w:rsidR="00DA6557" w:rsidRPr="008B34A5" w:rsidRDefault="00DA6557" w:rsidP="00DE009D">
    <w:pPr>
      <w:pStyle w:val="Capalera"/>
      <w:tabs>
        <w:tab w:val="clear" w:pos="4252"/>
        <w:tab w:val="clear" w:pos="8504"/>
      </w:tabs>
      <w:spacing w:line="160" w:lineRule="exact"/>
      <w:ind w:right="357"/>
      <w:rPr>
        <w:rFonts w:ascii="Arial" w:hAnsi="Arial" w:cs="Arial"/>
        <w:sz w:val="16"/>
        <w:szCs w:val="16"/>
        <w:lang w:val="ca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557" w:rsidRDefault="00DA6557" w:rsidP="00B725B9">
    <w:pPr>
      <w:pStyle w:val="Capalera"/>
      <w:ind w:hanging="567"/>
    </w:pPr>
    <w:r>
      <w:rPr>
        <w:noProof/>
        <w:lang w:val="ca-ES" w:bidi="ar-SA"/>
      </w:rPr>
      <w:drawing>
        <wp:inline distT="0" distB="0" distL="0" distR="0">
          <wp:extent cx="2419350" cy="638175"/>
          <wp:effectExtent l="19050" t="0" r="0" b="0"/>
          <wp:docPr id="1" name="Imatge 1" descr="ssp_sg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p_sg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A6557" w:rsidRDefault="00DA6557" w:rsidP="00490FB5">
    <w:pPr>
      <w:pStyle w:val="Capalera"/>
    </w:pPr>
  </w:p>
  <w:p w:rsidR="00DA6557" w:rsidRDefault="00C40847" w:rsidP="00241539">
    <w:pPr>
      <w:pStyle w:val="Capalera"/>
      <w:ind w:hanging="567"/>
    </w:pPr>
    <w:r w:rsidRPr="00C40847">
      <w:rPr>
        <w:noProof/>
      </w:rPr>
      <w:pict>
        <v:line id="_x0000_s2049" style="position:absolute;z-index:251656704;mso-position-horizontal-relative:page;mso-position-vertical-relative:page" from="0,283.5pt" to="28.35pt,283.5pt" o:allowincell="f" strokeweight=".25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9" w:dllVersion="512" w:checkStyle="1"/>
  <w:activeWritingStyle w:appName="MSWord" w:lang="es-ES" w:vendorID="9" w:dllVersion="512" w:checkStyle="1"/>
  <w:proofState w:spelling="clean"/>
  <w:stylePaneFormatFilter w:val="3F01"/>
  <w:defaultTabStop w:val="709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55FE"/>
    <w:rsid w:val="000205D3"/>
    <w:rsid w:val="0002313D"/>
    <w:rsid w:val="00036984"/>
    <w:rsid w:val="00045373"/>
    <w:rsid w:val="000539C8"/>
    <w:rsid w:val="00063CC4"/>
    <w:rsid w:val="00085CB5"/>
    <w:rsid w:val="000A22BA"/>
    <w:rsid w:val="000A7D8C"/>
    <w:rsid w:val="000B49BA"/>
    <w:rsid w:val="000B54FB"/>
    <w:rsid w:val="000C300A"/>
    <w:rsid w:val="000D53E1"/>
    <w:rsid w:val="0010073A"/>
    <w:rsid w:val="00102A64"/>
    <w:rsid w:val="00105248"/>
    <w:rsid w:val="001132A9"/>
    <w:rsid w:val="00131879"/>
    <w:rsid w:val="00131AAD"/>
    <w:rsid w:val="00135EE2"/>
    <w:rsid w:val="001462C0"/>
    <w:rsid w:val="00155237"/>
    <w:rsid w:val="0017142F"/>
    <w:rsid w:val="00195DFF"/>
    <w:rsid w:val="001963F1"/>
    <w:rsid w:val="001A411B"/>
    <w:rsid w:val="001C13CC"/>
    <w:rsid w:val="001D0B4A"/>
    <w:rsid w:val="001D2DC8"/>
    <w:rsid w:val="001F0967"/>
    <w:rsid w:val="001F7DBD"/>
    <w:rsid w:val="002068F1"/>
    <w:rsid w:val="00210EE1"/>
    <w:rsid w:val="00223D0C"/>
    <w:rsid w:val="00241539"/>
    <w:rsid w:val="00247B87"/>
    <w:rsid w:val="0025001C"/>
    <w:rsid w:val="002544FC"/>
    <w:rsid w:val="00263EE6"/>
    <w:rsid w:val="00272DAB"/>
    <w:rsid w:val="002926E7"/>
    <w:rsid w:val="0029398B"/>
    <w:rsid w:val="002975FD"/>
    <w:rsid w:val="002A0E7F"/>
    <w:rsid w:val="002A2D90"/>
    <w:rsid w:val="002C3EC8"/>
    <w:rsid w:val="002D74FF"/>
    <w:rsid w:val="002E3DF4"/>
    <w:rsid w:val="002F316B"/>
    <w:rsid w:val="002F6A3E"/>
    <w:rsid w:val="002F6FF0"/>
    <w:rsid w:val="003058EE"/>
    <w:rsid w:val="00310110"/>
    <w:rsid w:val="00320EF8"/>
    <w:rsid w:val="00327573"/>
    <w:rsid w:val="003443A1"/>
    <w:rsid w:val="0034717D"/>
    <w:rsid w:val="00363B36"/>
    <w:rsid w:val="00373986"/>
    <w:rsid w:val="003A5D8D"/>
    <w:rsid w:val="003A66CD"/>
    <w:rsid w:val="003A7DAA"/>
    <w:rsid w:val="003C1146"/>
    <w:rsid w:val="003D585D"/>
    <w:rsid w:val="003E6139"/>
    <w:rsid w:val="0043258A"/>
    <w:rsid w:val="004453D4"/>
    <w:rsid w:val="004459B7"/>
    <w:rsid w:val="00455BF3"/>
    <w:rsid w:val="00463882"/>
    <w:rsid w:val="00485A9F"/>
    <w:rsid w:val="00490FB5"/>
    <w:rsid w:val="004B4DAB"/>
    <w:rsid w:val="004C0562"/>
    <w:rsid w:val="004C4ED8"/>
    <w:rsid w:val="004D00E6"/>
    <w:rsid w:val="004D1934"/>
    <w:rsid w:val="004D19C5"/>
    <w:rsid w:val="004E16AC"/>
    <w:rsid w:val="004E40A4"/>
    <w:rsid w:val="004E4F77"/>
    <w:rsid w:val="00511920"/>
    <w:rsid w:val="00560619"/>
    <w:rsid w:val="00571181"/>
    <w:rsid w:val="0057510A"/>
    <w:rsid w:val="005B1DED"/>
    <w:rsid w:val="005B449C"/>
    <w:rsid w:val="005C47B3"/>
    <w:rsid w:val="005C50A9"/>
    <w:rsid w:val="005F765D"/>
    <w:rsid w:val="006029C0"/>
    <w:rsid w:val="00613575"/>
    <w:rsid w:val="006152DF"/>
    <w:rsid w:val="006234B7"/>
    <w:rsid w:val="00624DBB"/>
    <w:rsid w:val="00631ECA"/>
    <w:rsid w:val="00636CB0"/>
    <w:rsid w:val="00636ED3"/>
    <w:rsid w:val="0064783B"/>
    <w:rsid w:val="006A3184"/>
    <w:rsid w:val="006E4014"/>
    <w:rsid w:val="006F788E"/>
    <w:rsid w:val="00711D61"/>
    <w:rsid w:val="0071592F"/>
    <w:rsid w:val="007236DA"/>
    <w:rsid w:val="00730F87"/>
    <w:rsid w:val="007325E3"/>
    <w:rsid w:val="00732FB6"/>
    <w:rsid w:val="00750435"/>
    <w:rsid w:val="007661F3"/>
    <w:rsid w:val="00766EF6"/>
    <w:rsid w:val="0077228F"/>
    <w:rsid w:val="00777E80"/>
    <w:rsid w:val="007B4BEF"/>
    <w:rsid w:val="007D446B"/>
    <w:rsid w:val="007E35D0"/>
    <w:rsid w:val="007F0EA9"/>
    <w:rsid w:val="008708FE"/>
    <w:rsid w:val="008B34A5"/>
    <w:rsid w:val="008B5C6E"/>
    <w:rsid w:val="008C6400"/>
    <w:rsid w:val="008D2F0B"/>
    <w:rsid w:val="008D38BF"/>
    <w:rsid w:val="008D51BA"/>
    <w:rsid w:val="008E2DF8"/>
    <w:rsid w:val="008E4F4D"/>
    <w:rsid w:val="008F47B7"/>
    <w:rsid w:val="00937DD5"/>
    <w:rsid w:val="009539FC"/>
    <w:rsid w:val="00971BD0"/>
    <w:rsid w:val="00971FAF"/>
    <w:rsid w:val="009842B6"/>
    <w:rsid w:val="009D5388"/>
    <w:rsid w:val="00A02F4C"/>
    <w:rsid w:val="00A20022"/>
    <w:rsid w:val="00A216EB"/>
    <w:rsid w:val="00A41B16"/>
    <w:rsid w:val="00A551FE"/>
    <w:rsid w:val="00A566A6"/>
    <w:rsid w:val="00A67424"/>
    <w:rsid w:val="00A759DE"/>
    <w:rsid w:val="00A85EB9"/>
    <w:rsid w:val="00AA12C5"/>
    <w:rsid w:val="00AA54E6"/>
    <w:rsid w:val="00AA5932"/>
    <w:rsid w:val="00AC6F51"/>
    <w:rsid w:val="00AE2310"/>
    <w:rsid w:val="00AE2F46"/>
    <w:rsid w:val="00B02E55"/>
    <w:rsid w:val="00B10282"/>
    <w:rsid w:val="00B12D2F"/>
    <w:rsid w:val="00B2197B"/>
    <w:rsid w:val="00B269E1"/>
    <w:rsid w:val="00B4726B"/>
    <w:rsid w:val="00B549ED"/>
    <w:rsid w:val="00B725B9"/>
    <w:rsid w:val="00BA7F81"/>
    <w:rsid w:val="00BC4EC2"/>
    <w:rsid w:val="00BC7B49"/>
    <w:rsid w:val="00C031C4"/>
    <w:rsid w:val="00C03E03"/>
    <w:rsid w:val="00C13D75"/>
    <w:rsid w:val="00C14689"/>
    <w:rsid w:val="00C211E3"/>
    <w:rsid w:val="00C37A01"/>
    <w:rsid w:val="00C37A28"/>
    <w:rsid w:val="00C40847"/>
    <w:rsid w:val="00C4158C"/>
    <w:rsid w:val="00C44B44"/>
    <w:rsid w:val="00C50E5F"/>
    <w:rsid w:val="00C524AC"/>
    <w:rsid w:val="00C54EF8"/>
    <w:rsid w:val="00C84474"/>
    <w:rsid w:val="00CA71B1"/>
    <w:rsid w:val="00CC1912"/>
    <w:rsid w:val="00CC3836"/>
    <w:rsid w:val="00CC6062"/>
    <w:rsid w:val="00CD1B7E"/>
    <w:rsid w:val="00CE25D0"/>
    <w:rsid w:val="00D02935"/>
    <w:rsid w:val="00D14F2C"/>
    <w:rsid w:val="00D34BA0"/>
    <w:rsid w:val="00D3552E"/>
    <w:rsid w:val="00D3785B"/>
    <w:rsid w:val="00D43533"/>
    <w:rsid w:val="00D43862"/>
    <w:rsid w:val="00D47BCF"/>
    <w:rsid w:val="00D6401A"/>
    <w:rsid w:val="00D6566E"/>
    <w:rsid w:val="00D72E6C"/>
    <w:rsid w:val="00D77E49"/>
    <w:rsid w:val="00DA2970"/>
    <w:rsid w:val="00DA6557"/>
    <w:rsid w:val="00DA7AA2"/>
    <w:rsid w:val="00DB6C32"/>
    <w:rsid w:val="00DB7781"/>
    <w:rsid w:val="00DE009D"/>
    <w:rsid w:val="00E055FE"/>
    <w:rsid w:val="00E05F70"/>
    <w:rsid w:val="00E30576"/>
    <w:rsid w:val="00E3688E"/>
    <w:rsid w:val="00E47F1A"/>
    <w:rsid w:val="00E61C48"/>
    <w:rsid w:val="00E67FA8"/>
    <w:rsid w:val="00E70416"/>
    <w:rsid w:val="00E75005"/>
    <w:rsid w:val="00E763FE"/>
    <w:rsid w:val="00E767B7"/>
    <w:rsid w:val="00E92C96"/>
    <w:rsid w:val="00E95112"/>
    <w:rsid w:val="00E9761C"/>
    <w:rsid w:val="00EE4C1A"/>
    <w:rsid w:val="00EE7539"/>
    <w:rsid w:val="00F045FC"/>
    <w:rsid w:val="00F10FEA"/>
    <w:rsid w:val="00F11B08"/>
    <w:rsid w:val="00F53F41"/>
    <w:rsid w:val="00F5540F"/>
    <w:rsid w:val="00F56B65"/>
    <w:rsid w:val="00F57B64"/>
    <w:rsid w:val="00F77DAF"/>
    <w:rsid w:val="00F8029E"/>
    <w:rsid w:val="00F8602C"/>
    <w:rsid w:val="00FA598C"/>
    <w:rsid w:val="00FE18C3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0"/>
    <w:rPr>
      <w:sz w:val="24"/>
      <w:lang w:val="es-ES_tradnl" w:bidi="ks-Deva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511920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uiPriority w:val="99"/>
    <w:rsid w:val="00511920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511920"/>
  </w:style>
  <w:style w:type="paragraph" w:styleId="Textdeglobus">
    <w:name w:val="Balloon Text"/>
    <w:basedOn w:val="Normal"/>
    <w:link w:val="TextdeglobusCar"/>
    <w:rsid w:val="00E055FE"/>
    <w:rPr>
      <w:rFonts w:ascii="Tahoma" w:hAnsi="Tahoma" w:cs="Tahoma"/>
      <w:sz w:val="16"/>
      <w:szCs w:val="14"/>
    </w:rPr>
  </w:style>
  <w:style w:type="character" w:customStyle="1" w:styleId="TextdeglobusCar">
    <w:name w:val="Text de globus Car"/>
    <w:basedOn w:val="Tipusdelletraperdefectedelpargraf"/>
    <w:link w:val="Textdeglobus"/>
    <w:rsid w:val="00E055FE"/>
    <w:rPr>
      <w:rFonts w:ascii="Tahoma" w:hAnsi="Tahoma" w:cs="Tahoma"/>
      <w:sz w:val="16"/>
      <w:szCs w:val="14"/>
      <w:lang w:val="es-ES_tradnl" w:bidi="ks-Deva"/>
    </w:rPr>
  </w:style>
  <w:style w:type="paragraph" w:customStyle="1" w:styleId="CM41">
    <w:name w:val="CM4+1"/>
    <w:basedOn w:val="Normal"/>
    <w:next w:val="Normal"/>
    <w:uiPriority w:val="99"/>
    <w:rsid w:val="00E055FE"/>
    <w:pPr>
      <w:autoSpaceDE w:val="0"/>
      <w:autoSpaceDN w:val="0"/>
      <w:adjustRightInd w:val="0"/>
    </w:pPr>
    <w:rPr>
      <w:rFonts w:ascii="Times New Roman" w:eastAsia="Times New Roman" w:hAnsi="Times New Roman"/>
      <w:szCs w:val="24"/>
      <w:lang w:val="ca-ES" w:bidi="ar-SA"/>
    </w:rPr>
  </w:style>
  <w:style w:type="paragraph" w:customStyle="1" w:styleId="Default">
    <w:name w:val="Default"/>
    <w:rsid w:val="00E055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2">
    <w:name w:val="CM4+2"/>
    <w:basedOn w:val="Default"/>
    <w:next w:val="Default"/>
    <w:uiPriority w:val="99"/>
    <w:rsid w:val="00E055FE"/>
    <w:rPr>
      <w:color w:val="auto"/>
    </w:rPr>
  </w:style>
  <w:style w:type="paragraph" w:customStyle="1" w:styleId="CM4">
    <w:name w:val="CM4"/>
    <w:basedOn w:val="Default"/>
    <w:next w:val="Default"/>
    <w:uiPriority w:val="99"/>
    <w:rsid w:val="00E055FE"/>
    <w:rPr>
      <w:color w:val="auto"/>
    </w:rPr>
  </w:style>
  <w:style w:type="character" w:customStyle="1" w:styleId="PeuCar">
    <w:name w:val="Peu Car"/>
    <w:basedOn w:val="Tipusdelletraperdefectedelpargraf"/>
    <w:link w:val="Peu"/>
    <w:uiPriority w:val="99"/>
    <w:rsid w:val="00063CC4"/>
    <w:rPr>
      <w:sz w:val="24"/>
      <w:lang w:val="es-ES_tradnl" w:bidi="ks-Deva"/>
    </w:rPr>
  </w:style>
  <w:style w:type="character" w:styleId="Enlla">
    <w:name w:val="Hyperlink"/>
    <w:basedOn w:val="Tipusdelletraperdefectedelpargraf"/>
    <w:rsid w:val="003A66CD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rsid w:val="00E3688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csa.gencat.cat/web/.content/Publicacio/eines_i_recursos/Publicacions/Informes_tecnics/acsa_brief/acsabrief_Glifosat_Catala_setembre_octubre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948CD-E243-40F0-A4B2-B3518038F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429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Nom i cognoms (persona destinatària)</vt:lpstr>
      <vt:lpstr>Nom i cognoms (persona destinatària)</vt:lpstr>
    </vt:vector>
  </TitlesOfParts>
  <Manager/>
  <Company>ARGUS DISSENY</Company>
  <LinksUpToDate>false</LinksUpToDate>
  <CharactersWithSpaces>2895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 (persona destinatària)</dc:title>
  <dc:subject/>
  <dc:creator>38800503d</dc:creator>
  <cp:keywords/>
  <dc:description/>
  <cp:lastModifiedBy>38800503d</cp:lastModifiedBy>
  <cp:revision>46</cp:revision>
  <cp:lastPrinted>2016-11-14T10:52:00Z</cp:lastPrinted>
  <dcterms:created xsi:type="dcterms:W3CDTF">2016-10-26T11:08:00Z</dcterms:created>
  <dcterms:modified xsi:type="dcterms:W3CDTF">2016-11-18T09:58:00Z</dcterms:modified>
  <cp:category/>
</cp:coreProperties>
</file>